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5F" w:rsidRDefault="00ED175F">
      <w:r w:rsidRPr="00ED175F">
        <w:t>Lorem ipsum dolor sit amet,</w:t>
      </w:r>
      <w:r>
        <w:rPr>
          <w:rStyle w:val="Funotenzeichen"/>
        </w:rPr>
        <w:footnoteReference w:id="1"/>
      </w:r>
      <w:r w:rsidRPr="00ED175F">
        <w:t xml:space="preserve"> consetetur sadipscing elitr,</w:t>
      </w:r>
      <w:r>
        <w:rPr>
          <w:rStyle w:val="Funotenzeichen"/>
        </w:rPr>
        <w:footnoteReference w:id="2"/>
      </w:r>
      <w:r w:rsidRPr="00ED175F">
        <w:t xml:space="preserve"> sed diam nonumy eirmod tempor invidunt ut labore et dolore magna aliquyam erat, sed diam voluptua. At vero eos et accusam et justo duo dolores et ea rebum.</w:t>
      </w:r>
      <w:r w:rsidR="00F9786B">
        <w:rPr>
          <w:rStyle w:val="Funotenzeichen"/>
        </w:rPr>
        <w:footnoteReference w:id="3"/>
      </w:r>
      <w:r w:rsidRPr="00ED175F">
        <w:t xml:space="preserve"> Stet clita kasd gubergren, no sea takimata sanctus est Lorem ipsum dolor sit amet. Lorem ipsum dolor sit amet, consetetur sadipscing elitr,</w:t>
      </w:r>
      <w:r w:rsidR="00F9786B">
        <w:rPr>
          <w:rStyle w:val="Funotenzeichen"/>
        </w:rPr>
        <w:footnoteReference w:id="4"/>
      </w:r>
      <w:r w:rsidRPr="00ED175F">
        <w:t xml:space="preserve"> sed diam nonumy eirmod tempor invidunt ut labore et dolore magna aliquyam erat, sed diam voluptua.</w:t>
      </w:r>
      <w:r w:rsidR="00F9786B">
        <w:rPr>
          <w:rStyle w:val="Funotenzeichen"/>
        </w:rPr>
        <w:footnoteReference w:id="5"/>
      </w:r>
      <w:r w:rsidRPr="00ED175F">
        <w:t xml:space="preserve"> </w:t>
      </w:r>
      <w:r w:rsidR="00F9786B" w:rsidRPr="00F9786B">
        <w:t>Lorem ipsum dolor sit amet, consetetur sadipscing elitr,</w:t>
      </w:r>
      <w:r w:rsidR="00F9786B">
        <w:rPr>
          <w:rStyle w:val="Funotenzeichen"/>
        </w:rPr>
        <w:footnoteReference w:id="6"/>
      </w:r>
      <w:r w:rsidR="00F9786B" w:rsidRPr="00F9786B">
        <w:t xml:space="preserve"> sed diam nonumy eirmod tempor invidunt ut labore et dolore magna aliquyam erat, sed diam voluptua.</w:t>
      </w:r>
      <w:r w:rsidR="00F9786B">
        <w:rPr>
          <w:rStyle w:val="Funotenzeichen"/>
        </w:rPr>
        <w:footnoteReference w:id="7"/>
      </w:r>
      <w:r w:rsidR="00F9786B" w:rsidRPr="00F9786B">
        <w:t xml:space="preserve"> At vero eos et accusam et justo duo dolores et ea rebum.</w:t>
      </w:r>
      <w:r w:rsidR="00F9786B">
        <w:rPr>
          <w:rStyle w:val="Funotenzeichen"/>
        </w:rPr>
        <w:footnoteReference w:id="8"/>
      </w:r>
      <w:r w:rsidR="00F9786B" w:rsidRPr="00F9786B">
        <w:t xml:space="preserve"> Stet clita kasd gubergren,</w:t>
      </w:r>
      <w:r w:rsidR="002C5E3B">
        <w:rPr>
          <w:rStyle w:val="Funotenzeichen"/>
        </w:rPr>
        <w:footnoteReference w:id="9"/>
      </w:r>
      <w:r w:rsidR="00F9786B" w:rsidRPr="00F9786B">
        <w:t xml:space="preserve"> no sea takimata sanctus est Lorem ipsum dolor sit amet.</w:t>
      </w:r>
      <w:r w:rsidR="00F9786B">
        <w:rPr>
          <w:rStyle w:val="Funotenzeichen"/>
        </w:rPr>
        <w:footnoteReference w:id="10"/>
      </w:r>
      <w:r w:rsidR="00F9786B" w:rsidRPr="00F9786B">
        <w:t xml:space="preserve"> Lorem ipsum dolor sit amet, consetetur sadipscing elitr, sed diam nonumy eirmod tempor invidunt ut labore et dolore magna aliquyam erat, sed diam voluptua.</w:t>
      </w:r>
      <w:r w:rsidR="00F9786B">
        <w:rPr>
          <w:rStyle w:val="Funotenzeichen"/>
        </w:rPr>
        <w:footnoteReference w:id="11"/>
      </w:r>
      <w:r w:rsidR="00F9786B" w:rsidRPr="00F9786B">
        <w:t xml:space="preserve">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w:t>
      </w:r>
      <w:r w:rsidR="00F9786B">
        <w:rPr>
          <w:rStyle w:val="Funotenzeichen"/>
        </w:rPr>
        <w:footnoteReference w:id="12"/>
      </w:r>
      <w:r w:rsidR="00F9786B" w:rsidRPr="00F9786B">
        <w:t xml:space="preserve">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w:t>
      </w:r>
      <w:r w:rsidR="002C5E3B">
        <w:rPr>
          <w:rStyle w:val="Funotenzeichen"/>
        </w:rPr>
        <w:footnoteReference w:id="13"/>
      </w:r>
      <w:r w:rsidR="00F9786B" w:rsidRPr="00F9786B">
        <w:t xml:space="preserve"> Stet clita kasd gubergren, no sea takimata sanctus est Lorem ipsum dolor sit amet.</w:t>
      </w:r>
      <w:r w:rsidR="00F9786B">
        <w:rPr>
          <w:rStyle w:val="Funotenzeichen"/>
        </w:rPr>
        <w:footnoteReference w:id="14"/>
      </w:r>
    </w:p>
    <w:p w:rsidR="00F9786B" w:rsidRDefault="00F9786B">
      <w:r>
        <w:br w:type="page"/>
      </w:r>
    </w:p>
    <w:p w:rsidR="00ED175F" w:rsidRDefault="00ED175F"/>
    <w:p w:rsidR="008C2BBB" w:rsidRDefault="008C2BBB" w:rsidP="008C2BBB">
      <w:pPr>
        <w:pStyle w:val="CitaviBibliographyHeading"/>
      </w:pPr>
      <w:r>
        <w:t>Literaturverzeichnis</w:t>
      </w:r>
    </w:p>
    <w:p w:rsidR="008C2BBB" w:rsidRDefault="008C2BBB" w:rsidP="008C2BBB">
      <w:pPr>
        <w:pStyle w:val="CitaviBibliographyEntry"/>
      </w:pPr>
      <w:bookmarkStart w:id="0" w:name="_CTVL00171732519188343719612d7fefdf0f369"/>
      <w:r>
        <w:t>Directory of Open Access Journals, &lt;</w:t>
      </w:r>
      <w:hyperlink r:id="rId7" w:history="1">
        <w:r w:rsidR="00086396" w:rsidRPr="003A4659">
          <w:rPr>
            <w:rStyle w:val="Hyperlink"/>
          </w:rPr>
          <w:t>https://doaj.org/</w:t>
        </w:r>
      </w:hyperlink>
      <w:r>
        <w:t>&gt;, Stand: 18.07.2018.</w:t>
      </w:r>
    </w:p>
    <w:p w:rsidR="008C2BBB" w:rsidRDefault="008C2BBB" w:rsidP="008C2BBB">
      <w:pPr>
        <w:pStyle w:val="CitaviBibliographyEntry"/>
      </w:pPr>
      <w:bookmarkStart w:id="1" w:name="_CTVL00157443cdcea1b4baea9b50c8cdd3895d4"/>
      <w:bookmarkEnd w:id="0"/>
      <w:r>
        <w:t>Deutscher Qualifikationsrahmen, &lt;</w:t>
      </w:r>
      <w:hyperlink r:id="rId8" w:history="1">
        <w:r w:rsidR="00086396" w:rsidRPr="003A4659">
          <w:rPr>
            <w:rStyle w:val="Hyperlink"/>
          </w:rPr>
          <w:t>https://www.dqr.de/</w:t>
        </w:r>
      </w:hyperlink>
      <w:r>
        <w:t>&gt;, Stand: 13.07.2018.</w:t>
      </w:r>
    </w:p>
    <w:p w:rsidR="008C2BBB" w:rsidRDefault="008C2BBB" w:rsidP="008C2BBB">
      <w:pPr>
        <w:pStyle w:val="CitaviBibliographyEntry"/>
      </w:pPr>
      <w:bookmarkStart w:id="2" w:name="_CTVL001b0beab7542824ea8a379eade482f282a"/>
      <w:bookmarkEnd w:id="1"/>
      <w:r>
        <w:t>DOAJ API documentation, Directory of Open Access Journals, &lt;</w:t>
      </w:r>
      <w:hyperlink r:id="rId9" w:history="1">
        <w:r w:rsidR="00086396" w:rsidRPr="003A4659">
          <w:rPr>
            <w:rStyle w:val="Hyperlink"/>
          </w:rPr>
          <w:t>https://doaj.org/api/v1/docs</w:t>
        </w:r>
      </w:hyperlink>
      <w:r>
        <w:t>&gt;, Stand: 18.07.2018.</w:t>
      </w:r>
    </w:p>
    <w:p w:rsidR="008C2BBB" w:rsidRDefault="008C2BBB" w:rsidP="008C2BBB">
      <w:pPr>
        <w:pStyle w:val="CitaviBibliographyEntry"/>
      </w:pPr>
      <w:bookmarkStart w:id="3" w:name="_CTVL001757b32886b624e1b9b81ff976633e20c"/>
      <w:bookmarkEnd w:id="2"/>
      <w:r>
        <w:t>Hauschke, Christian: De Gruyter, die ZLB und der Bibliotheksbärendienst, InfoBib, 24.10.2015, &lt;</w:t>
      </w:r>
      <w:hyperlink r:id="rId10" w:history="1">
        <w:r w:rsidR="00086396" w:rsidRPr="003A4659">
          <w:rPr>
            <w:rStyle w:val="Hyperlink"/>
          </w:rPr>
          <w:t>https://infobib.de/2015/10/24/de-gruyter-die-zlb-und-der-bibliotheksbaerendienst/</w:t>
        </w:r>
      </w:hyperlink>
      <w:r>
        <w:t>&gt;, Stand: 13.07.2018.</w:t>
      </w:r>
    </w:p>
    <w:p w:rsidR="008C2BBB" w:rsidRDefault="008C2BBB" w:rsidP="008C2BBB">
      <w:pPr>
        <w:pStyle w:val="CitaviBibliographyEntry"/>
      </w:pPr>
      <w:bookmarkStart w:id="4" w:name="_CTVL001bfa7fafcb19f4e0fb197d5827a211aa0"/>
      <w:bookmarkEnd w:id="3"/>
      <w:r>
        <w:t>Hollmann, Michael; Schüller-Zwierlein, André (Hg.): Diachrone Zugänglichkeit als Prozess. Kulturelle Überlieferung in systematischer Sicht, Berlin, München 2017 (Age of access? - Grundfragen der Informationsgesellschaft 4).</w:t>
      </w:r>
    </w:p>
    <w:p w:rsidR="008C2BBB" w:rsidRDefault="008C2BBB" w:rsidP="008C2BBB">
      <w:pPr>
        <w:pStyle w:val="CitaviBibliographyEntry"/>
      </w:pPr>
      <w:bookmarkStart w:id="5" w:name="_CTVL00178a548b07e0b413b8e9d8b44f76aee44"/>
      <w:bookmarkEnd w:id="4"/>
      <w:r>
        <w:t xml:space="preserve">HRK: Wie Hochschulleitungen die Entwicklung des Forschungsdatenmanagements steuern können. Orientierungspfade, Handlungsoptionen, Szenarien. Empfehlung der 19. Mitgliederversammlung der HRK am 10. November 2015 in Kiel. Online: </w:t>
      </w:r>
      <w:bookmarkStart w:id="6" w:name="_GoBack"/>
      <w:bookmarkEnd w:id="6"/>
      <w:r>
        <w:t>&lt;</w:t>
      </w:r>
      <w:hyperlink r:id="rId11" w:history="1">
        <w:r w:rsidR="00086396" w:rsidRPr="003A4659">
          <w:rPr>
            <w:rStyle w:val="Hyperlink"/>
          </w:rPr>
          <w:t>https://www.hrk.de/fileadmin/_migrated/content_uploads/Empfehlung_Forschungsdatenmanagement__final_Stand_11.11.2015.pdf</w:t>
        </w:r>
      </w:hyperlink>
      <w:r>
        <w:t>&gt;, Stand: 18.07.2018.</w:t>
      </w:r>
    </w:p>
    <w:p w:rsidR="008C2BBB" w:rsidRDefault="008C2BBB" w:rsidP="008C2BBB">
      <w:pPr>
        <w:pStyle w:val="CitaviBibliographyEntry"/>
      </w:pPr>
      <w:bookmarkStart w:id="7" w:name="_CTVL001c36698765b14464ea8013f14b040913b"/>
      <w:bookmarkEnd w:id="5"/>
      <w:r>
        <w:t>Landes- und Regionalverbände, Verein Deutscher Bibliothekarinnen und Bibliothekare e.V., &lt;</w:t>
      </w:r>
      <w:hyperlink r:id="rId12" w:history="1">
        <w:r w:rsidR="00086396" w:rsidRPr="003A4659">
          <w:rPr>
            <w:rStyle w:val="Hyperlink"/>
          </w:rPr>
          <w:t>https://www.vdb-online.org/landesverbaende/</w:t>
        </w:r>
      </w:hyperlink>
      <w:r>
        <w:t>&gt;, Stand: 13.07.2018.</w:t>
      </w:r>
    </w:p>
    <w:p w:rsidR="008C2BBB" w:rsidRDefault="008C2BBB" w:rsidP="008C2BBB">
      <w:pPr>
        <w:pStyle w:val="CitaviBibliographyEntry"/>
      </w:pPr>
      <w:bookmarkStart w:id="8" w:name="_CTVL0012ca9896cbf5147e2a4da1025ba62b0bc"/>
      <w:bookmarkEnd w:id="7"/>
      <w:r>
        <w:t>Ott, Ulrich; Pfäfflin, Friedrich: 1895-1995. Hundert Jahre Schwäbischer Schillerverein - Deutsche Schillergesellschaft, in: Deutelmoser, Otto K. (Hg.): Marbach. Rückblick auf ein Jahrhundert. 1895 - 1995, Stuttgart 1996 (Marbacher Schriften), S. 11–78.</w:t>
      </w:r>
    </w:p>
    <w:p w:rsidR="008C2BBB" w:rsidRDefault="008C2BBB" w:rsidP="008C2BBB">
      <w:pPr>
        <w:pStyle w:val="CitaviBibliographyEntry"/>
      </w:pPr>
      <w:bookmarkStart w:id="9" w:name="_CTVL001726c7ee079044746bc4106169ae04c56"/>
      <w:bookmarkEnd w:id="8"/>
      <w:r>
        <w:t>Umlauf, Konrad; Delin, Peter; Hein, Susanne: Medienkunde, Wiesbaden 2014</w:t>
      </w:r>
      <w:bookmarkEnd w:id="9"/>
      <w:r w:rsidRPr="008C2BBB">
        <w:rPr>
          <w:vertAlign w:val="superscript"/>
        </w:rPr>
        <w:t>3</w:t>
      </w:r>
      <w:r w:rsidRPr="008C2BBB">
        <w:t xml:space="preserve"> (Bibliotheksarbeit 8).</w:t>
      </w:r>
    </w:p>
    <w:p w:rsidR="008C2BBB" w:rsidRDefault="008C2BBB" w:rsidP="008C2BBB">
      <w:pPr>
        <w:pStyle w:val="CitaviBibliographyEntry"/>
      </w:pPr>
      <w:bookmarkStart w:id="10" w:name="_CTVL001a69cf3db7fcc4fe1bc06df48a75c89a8"/>
      <w:r>
        <w:t>Wiesenmüller, Heidrun: Erschließung. Schlagwortketten in Online-Katalogen – Realität und Potenzial, in: Bibliotheksdienst 42 (10), 2008, S. 1033–1059. Online: &lt;</w:t>
      </w:r>
      <w:hyperlink r:id="rId13" w:history="1">
        <w:r w:rsidR="00086396" w:rsidRPr="003A4659">
          <w:rPr>
            <w:rStyle w:val="Hyperlink"/>
          </w:rPr>
          <w:t>https://doi.org/10.1515/bd.2008.42.10.1033</w:t>
        </w:r>
      </w:hyperlink>
      <w:r>
        <w:t>&gt;.</w:t>
      </w:r>
    </w:p>
    <w:p w:rsidR="00ED175F" w:rsidRDefault="008C2BBB" w:rsidP="008C2BBB">
      <w:pPr>
        <w:pStyle w:val="CitaviBibliographyEntry"/>
      </w:pPr>
      <w:bookmarkStart w:id="11" w:name="_CTVL001e3b8241374a44d86a672b7f820dd9ae3"/>
      <w:bookmarkEnd w:id="10"/>
      <w:r>
        <w:t>Wissenschaftsrat: Stellungnahme zum Deutschen Literaturarchiv Marbach, Berlin 13.07.2007. Online: &lt;</w:t>
      </w:r>
      <w:hyperlink r:id="rId14" w:history="1">
        <w:r w:rsidR="00086396" w:rsidRPr="003A4659">
          <w:rPr>
            <w:rStyle w:val="Hyperlink"/>
          </w:rPr>
          <w:t>www.wissenschaftsrat.de/download/archiv/7976-07.pdf</w:t>
        </w:r>
      </w:hyperlink>
      <w:r>
        <w:t>&gt;, Stand: 26.10.2017.</w:t>
      </w:r>
      <w:bookmarkEnd w:id="11"/>
    </w:p>
    <w:sectPr w:rsidR="00ED175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5EF" w:rsidRDefault="007015EF" w:rsidP="00ED175F">
      <w:pPr>
        <w:spacing w:after="0" w:line="240" w:lineRule="auto"/>
      </w:pPr>
      <w:r>
        <w:separator/>
      </w:r>
    </w:p>
  </w:endnote>
  <w:endnote w:type="continuationSeparator" w:id="0">
    <w:p w:rsidR="007015EF" w:rsidRDefault="007015EF" w:rsidP="00ED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5EF" w:rsidRDefault="007015EF" w:rsidP="00ED175F">
      <w:pPr>
        <w:spacing w:after="0" w:line="240" w:lineRule="auto"/>
      </w:pPr>
      <w:r>
        <w:separator/>
      </w:r>
    </w:p>
  </w:footnote>
  <w:footnote w:type="continuationSeparator" w:id="0">
    <w:p w:rsidR="007015EF" w:rsidRDefault="007015EF" w:rsidP="00ED175F">
      <w:pPr>
        <w:spacing w:after="0" w:line="240" w:lineRule="auto"/>
      </w:pPr>
      <w:r>
        <w:continuationSeparator/>
      </w:r>
    </w:p>
  </w:footnote>
  <w:footnote w:id="1">
    <w:p w:rsidR="00ED175F" w:rsidRDefault="00ED175F" w:rsidP="00ED175F">
      <w:pPr>
        <w:pStyle w:val="Funotentext"/>
      </w:pPr>
      <w:r>
        <w:rPr>
          <w:rStyle w:val="Funotenzeichen"/>
        </w:rPr>
        <w:footnoteRef/>
      </w:r>
      <w:r>
        <w:t xml:space="preserve"> </w:t>
      </w:r>
      <w:r w:rsidR="002C5E3B">
        <w:t>Umlauf, Konrad; Delin, Peter; Hein, Susanne: Medienkunde, Wiesbaden 2014</w:t>
      </w:r>
      <w:r w:rsidR="002C5E3B" w:rsidRPr="002C5E3B">
        <w:rPr>
          <w:vertAlign w:val="superscript"/>
        </w:rPr>
        <w:t>3</w:t>
      </w:r>
      <w:r w:rsidR="002C5E3B" w:rsidRPr="002C5E3B">
        <w:t xml:space="preserve"> (Bibliotheksarbeit 8).</w:t>
      </w:r>
    </w:p>
  </w:footnote>
  <w:footnote w:id="2">
    <w:p w:rsidR="00ED175F" w:rsidRDefault="00ED175F">
      <w:pPr>
        <w:pStyle w:val="Funotentext"/>
      </w:pPr>
      <w:r>
        <w:rPr>
          <w:rStyle w:val="Funotenzeichen"/>
        </w:rPr>
        <w:footnoteRef/>
      </w:r>
      <w:r>
        <w:t xml:space="preserve"> </w:t>
      </w:r>
      <w:r w:rsidR="002C5E3B">
        <w:t>ebd.</w:t>
      </w:r>
    </w:p>
  </w:footnote>
  <w:footnote w:id="3">
    <w:p w:rsidR="00F9786B" w:rsidRDefault="00F9786B" w:rsidP="00F9786B">
      <w:pPr>
        <w:pStyle w:val="Funotentext"/>
      </w:pPr>
      <w:r>
        <w:rPr>
          <w:rStyle w:val="Funotenzeichen"/>
        </w:rPr>
        <w:footnoteRef/>
      </w:r>
      <w:r>
        <w:t xml:space="preserve"> </w:t>
      </w:r>
      <w:r w:rsidR="002C5E3B">
        <w:t>Wiesenmüller, Heidrun: Erschließung. Schlagwortketten in Online-Katalogen – Realität und Potenzial, in: Bibliotheksdienst 42 (10), 2008, S. 1033–1059. Online: &lt;</w:t>
      </w:r>
      <w:hyperlink r:id="rId1" w:history="1">
        <w:r w:rsidR="002C5E3B" w:rsidRPr="00BD60E7">
          <w:rPr>
            <w:rStyle w:val="Hyperlink"/>
          </w:rPr>
          <w:t>https://doi.org/10.1515/bd.2008.42.10.1033</w:t>
        </w:r>
      </w:hyperlink>
      <w:r w:rsidR="002C5E3B">
        <w:t>&gt;.</w:t>
      </w:r>
    </w:p>
  </w:footnote>
  <w:footnote w:id="4">
    <w:p w:rsidR="00F9786B" w:rsidRDefault="00F9786B" w:rsidP="00F9786B">
      <w:pPr>
        <w:pStyle w:val="Funotentext"/>
      </w:pPr>
      <w:r>
        <w:rPr>
          <w:rStyle w:val="Funotenzeichen"/>
        </w:rPr>
        <w:footnoteRef/>
      </w:r>
      <w:r>
        <w:t xml:space="preserve"> </w:t>
      </w:r>
      <w:r w:rsidR="002C5E3B">
        <w:t>Ott, Ulrich; Pfäfflin, Friedrich: 1895-1995. Hundert Jahre Schwäbischer Schillerverein - Deutsche Schillergesellschaft, in: Deutelmoser, Otto K. (Hg.): Marbach. Rückblick auf ein Jahrhundert. 1895 - 1995, Stuttgart 1996 (Marbacher Schriften</w:t>
      </w:r>
      <w:r w:rsidR="00300085">
        <w:t xml:space="preserve"> 43</w:t>
      </w:r>
      <w:r w:rsidR="002C5E3B">
        <w:t>), S. 11–78.</w:t>
      </w:r>
    </w:p>
  </w:footnote>
  <w:footnote w:id="5">
    <w:p w:rsidR="00F9786B" w:rsidRDefault="00F9786B" w:rsidP="00F9786B">
      <w:pPr>
        <w:pStyle w:val="Funotentext"/>
      </w:pPr>
      <w:r>
        <w:rPr>
          <w:rStyle w:val="Funotenzeichen"/>
        </w:rPr>
        <w:footnoteRef/>
      </w:r>
      <w:r>
        <w:t xml:space="preserve"> </w:t>
      </w:r>
      <w:r w:rsidR="008C2BBB">
        <w:t>Wiesenmüller: Erschließung, 2008.</w:t>
      </w:r>
    </w:p>
  </w:footnote>
  <w:footnote w:id="6">
    <w:p w:rsidR="00F9786B" w:rsidRDefault="00F9786B" w:rsidP="00F9786B">
      <w:pPr>
        <w:pStyle w:val="Funotentext"/>
      </w:pPr>
      <w:r>
        <w:rPr>
          <w:rStyle w:val="Funotenzeichen"/>
        </w:rPr>
        <w:footnoteRef/>
      </w:r>
      <w:r>
        <w:t xml:space="preserve"> </w:t>
      </w:r>
      <w:r w:rsidR="002C5E3B">
        <w:t>Hollmann, Michael; Schüller-Zwierlein, André (Hg.): Diachrone Zugänglichkeit als Prozess. Kulturelle Überlieferung in systematischer Sicht, Berlin, München 2017 (Age of access? - Grundfragen der Informationsgesellschaft 4).</w:t>
      </w:r>
    </w:p>
  </w:footnote>
  <w:footnote w:id="7">
    <w:p w:rsidR="00F9786B" w:rsidRDefault="00F9786B" w:rsidP="00F9786B">
      <w:pPr>
        <w:pStyle w:val="Funotentext"/>
      </w:pPr>
      <w:r>
        <w:rPr>
          <w:rStyle w:val="Funotenzeichen"/>
        </w:rPr>
        <w:footnoteRef/>
      </w:r>
      <w:r>
        <w:t xml:space="preserve"> </w:t>
      </w:r>
      <w:r w:rsidR="002C5E3B">
        <w:t>Hauschke, Christian: De Gruyter, die ZLB und der Bibliotheksbärendienst, InfoBib, 24.10.2015, &lt;</w:t>
      </w:r>
      <w:hyperlink r:id="rId2" w:history="1">
        <w:r w:rsidR="002C5E3B" w:rsidRPr="00BD60E7">
          <w:rPr>
            <w:rStyle w:val="Hyperlink"/>
          </w:rPr>
          <w:t>https://infobib.de/2015/10/24/de-gruyter-die-zlb-und-der-bibliotheksbaerendienst/</w:t>
        </w:r>
      </w:hyperlink>
      <w:r w:rsidR="002C5E3B">
        <w:t>&gt;, Stand: 13.07.2018.</w:t>
      </w:r>
    </w:p>
  </w:footnote>
  <w:footnote w:id="8">
    <w:p w:rsidR="00F9786B" w:rsidRDefault="00F9786B" w:rsidP="00F9786B">
      <w:pPr>
        <w:pStyle w:val="Funotentext"/>
      </w:pPr>
      <w:r>
        <w:rPr>
          <w:rStyle w:val="Funotenzeichen"/>
        </w:rPr>
        <w:footnoteRef/>
      </w:r>
      <w:r>
        <w:t xml:space="preserve"> </w:t>
      </w:r>
      <w:r w:rsidR="008C2BBB">
        <w:t>DOAJ API documentation, Directory of Open Access Journals, &lt;</w:t>
      </w:r>
      <w:hyperlink r:id="rId3" w:history="1">
        <w:r w:rsidR="008C2BBB" w:rsidRPr="00BD60E7">
          <w:rPr>
            <w:rStyle w:val="Hyperlink"/>
          </w:rPr>
          <w:t>https://doaj.org/api/v1/docs</w:t>
        </w:r>
      </w:hyperlink>
      <w:r w:rsidR="008C2BBB">
        <w:t>&gt;, Stand: 18.07.2018.</w:t>
      </w:r>
    </w:p>
  </w:footnote>
  <w:footnote w:id="9">
    <w:p w:rsidR="002C5E3B" w:rsidRDefault="002C5E3B" w:rsidP="002C5E3B">
      <w:pPr>
        <w:pStyle w:val="Funotentext"/>
      </w:pPr>
      <w:r>
        <w:rPr>
          <w:rStyle w:val="Funotenzeichen"/>
        </w:rPr>
        <w:footnoteRef/>
      </w:r>
      <w:r>
        <w:t xml:space="preserve"> Directory of Open Access Journals, &lt;</w:t>
      </w:r>
      <w:hyperlink r:id="rId4" w:history="1">
        <w:r w:rsidRPr="00BD60E7">
          <w:rPr>
            <w:rStyle w:val="Hyperlink"/>
          </w:rPr>
          <w:t>https://doaj.org/</w:t>
        </w:r>
      </w:hyperlink>
      <w:r>
        <w:t>&gt;, Stand: 18.07.2018.</w:t>
      </w:r>
    </w:p>
  </w:footnote>
  <w:footnote w:id="10">
    <w:p w:rsidR="00F9786B" w:rsidRDefault="00F9786B" w:rsidP="00F9786B">
      <w:pPr>
        <w:pStyle w:val="Funotentext"/>
      </w:pPr>
      <w:r>
        <w:rPr>
          <w:rStyle w:val="Funotenzeichen"/>
        </w:rPr>
        <w:footnoteRef/>
      </w:r>
      <w:r>
        <w:t xml:space="preserve"> </w:t>
      </w:r>
      <w:r w:rsidR="002C5E3B">
        <w:t>Landes- und Regionalverbände, Verein Deutscher Bibliothekarinnen und Bibliothekare e.V., &lt;</w:t>
      </w:r>
      <w:hyperlink r:id="rId5" w:history="1">
        <w:r w:rsidR="002C5E3B" w:rsidRPr="00BD60E7">
          <w:rPr>
            <w:rStyle w:val="Hyperlink"/>
          </w:rPr>
          <w:t>https://www.vdb-online.org/landesverbaende/</w:t>
        </w:r>
      </w:hyperlink>
      <w:r w:rsidR="002C5E3B">
        <w:t>&gt;, Stand: 13.07.2018.</w:t>
      </w:r>
    </w:p>
  </w:footnote>
  <w:footnote w:id="11">
    <w:p w:rsidR="00F9786B" w:rsidRDefault="00F9786B" w:rsidP="00F9786B">
      <w:pPr>
        <w:pStyle w:val="Funotentext"/>
      </w:pPr>
      <w:r>
        <w:rPr>
          <w:rStyle w:val="Funotenzeichen"/>
        </w:rPr>
        <w:footnoteRef/>
      </w:r>
      <w:r>
        <w:t xml:space="preserve"> </w:t>
      </w:r>
      <w:r w:rsidR="002C5E3B">
        <w:t>Wissenschaftsrat: Stellungnahme zum Deutschen Literaturarchiv Marbach, Berlin 13.07.2007. Online: &lt;</w:t>
      </w:r>
      <w:hyperlink r:id="rId6" w:history="1">
        <w:r w:rsidR="002C5E3B" w:rsidRPr="00BD60E7">
          <w:rPr>
            <w:rStyle w:val="Hyperlink"/>
          </w:rPr>
          <w:t>www.wissenschaftsrat.de/download/archiv/7976-07.pdf</w:t>
        </w:r>
      </w:hyperlink>
      <w:r w:rsidR="002C5E3B">
        <w:t>&gt;, Stand: 26.10.2017.</w:t>
      </w:r>
    </w:p>
  </w:footnote>
  <w:footnote w:id="12">
    <w:p w:rsidR="00F9786B" w:rsidRDefault="00F9786B" w:rsidP="00F9786B">
      <w:pPr>
        <w:pStyle w:val="Funotentext"/>
      </w:pPr>
      <w:r>
        <w:rPr>
          <w:rStyle w:val="Funotenzeichen"/>
        </w:rPr>
        <w:footnoteRef/>
      </w:r>
      <w:r>
        <w:t xml:space="preserve"> </w:t>
      </w:r>
      <w:r w:rsidR="002C5E3B">
        <w:t>Deutscher Qualifikationsrahmen, &lt;</w:t>
      </w:r>
      <w:hyperlink r:id="rId7" w:history="1">
        <w:r w:rsidR="002C5E3B" w:rsidRPr="00BD60E7">
          <w:rPr>
            <w:rStyle w:val="Hyperlink"/>
          </w:rPr>
          <w:t>https://www.dqr.de/</w:t>
        </w:r>
      </w:hyperlink>
      <w:r w:rsidR="002C5E3B">
        <w:t>&gt;, Stand: 13.07.2018.</w:t>
      </w:r>
    </w:p>
  </w:footnote>
  <w:footnote w:id="13">
    <w:p w:rsidR="002C5E3B" w:rsidRDefault="002C5E3B">
      <w:pPr>
        <w:pStyle w:val="Funotentext"/>
      </w:pPr>
      <w:r>
        <w:rPr>
          <w:rStyle w:val="Funotenzeichen"/>
        </w:rPr>
        <w:footnoteRef/>
      </w:r>
      <w:r>
        <w:t xml:space="preserve"> </w:t>
      </w:r>
      <w:r w:rsidR="008C2BBB">
        <w:t>DOAJ API documentation.</w:t>
      </w:r>
    </w:p>
  </w:footnote>
  <w:footnote w:id="14">
    <w:p w:rsidR="00F9786B" w:rsidRDefault="00F9786B" w:rsidP="00F9786B">
      <w:pPr>
        <w:pStyle w:val="Funotentext"/>
      </w:pPr>
      <w:r>
        <w:rPr>
          <w:rStyle w:val="Funotenzeichen"/>
        </w:rPr>
        <w:footnoteRef/>
      </w:r>
      <w:r>
        <w:t xml:space="preserve"> </w:t>
      </w:r>
      <w:r w:rsidR="002C5E3B">
        <w:t>HRK: Wie Hochschulleitungen die Entwicklung des Forschungsdatenmanagements steuern können. Orientierungspfade, Handlungsoptionen, Szenarien. Empfehlung der 19. Mitgliederversammlung der HRK am 10. November 2015 in Kiel</w:t>
      </w:r>
      <w:r w:rsidR="00AC5486">
        <w:t>,</w:t>
      </w:r>
      <w:r w:rsidR="00AC5486" w:rsidRPr="00AC5486">
        <w:t xml:space="preserve"> </w:t>
      </w:r>
      <w:r w:rsidR="00AC5486">
        <w:t>S. 6</w:t>
      </w:r>
      <w:r w:rsidR="002C5E3B">
        <w:t>. Online: &lt;</w:t>
      </w:r>
      <w:hyperlink r:id="rId8" w:history="1">
        <w:r w:rsidR="002C5E3B" w:rsidRPr="00BD60E7">
          <w:rPr>
            <w:rStyle w:val="Hyperlink"/>
          </w:rPr>
          <w:t>https://www.hrk.de/fileadmin/_migrated/content_uploads/Empfehlung_Forschungsdatenmanagement__final_Stand_11.11.2015.pdf</w:t>
        </w:r>
      </w:hyperlink>
      <w:r w:rsidR="00AC5486">
        <w:t>&gt;, Stand: 18.07.2018.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5F"/>
    <w:rsid w:val="00086396"/>
    <w:rsid w:val="000F4EF2"/>
    <w:rsid w:val="00234098"/>
    <w:rsid w:val="002C5E3B"/>
    <w:rsid w:val="002F6CBD"/>
    <w:rsid w:val="00300085"/>
    <w:rsid w:val="00374F1A"/>
    <w:rsid w:val="003C01DA"/>
    <w:rsid w:val="00424410"/>
    <w:rsid w:val="00446AD8"/>
    <w:rsid w:val="0047506E"/>
    <w:rsid w:val="00480F52"/>
    <w:rsid w:val="007015EF"/>
    <w:rsid w:val="007F28F7"/>
    <w:rsid w:val="008C2BBB"/>
    <w:rsid w:val="00AC5486"/>
    <w:rsid w:val="00BD60E7"/>
    <w:rsid w:val="00BF435F"/>
    <w:rsid w:val="00E97A42"/>
    <w:rsid w:val="00ED175F"/>
    <w:rsid w:val="00F32C12"/>
    <w:rsid w:val="00F978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30E65-45DB-4B64-90A2-97E055DB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D17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ED17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D17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ED17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D175F"/>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D175F"/>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D17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D17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D17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ED175F"/>
    <w:pPr>
      <w:spacing w:after="0" w:line="240" w:lineRule="auto"/>
    </w:pPr>
    <w:rPr>
      <w:sz w:val="20"/>
      <w:szCs w:val="20"/>
    </w:rPr>
  </w:style>
  <w:style w:type="character" w:customStyle="1" w:styleId="FunotentextZchn">
    <w:name w:val="Fußnotentext Zchn"/>
    <w:basedOn w:val="Absatz-Standardschriftart"/>
    <w:link w:val="Funotentext"/>
    <w:uiPriority w:val="99"/>
    <w:rsid w:val="00ED175F"/>
    <w:rPr>
      <w:sz w:val="20"/>
      <w:szCs w:val="20"/>
    </w:rPr>
  </w:style>
  <w:style w:type="character" w:styleId="Funotenzeichen">
    <w:name w:val="footnote reference"/>
    <w:basedOn w:val="Absatz-Standardschriftart"/>
    <w:uiPriority w:val="99"/>
    <w:semiHidden/>
    <w:unhideWhenUsed/>
    <w:rsid w:val="00ED175F"/>
    <w:rPr>
      <w:vertAlign w:val="superscript"/>
    </w:rPr>
  </w:style>
  <w:style w:type="character" w:styleId="Platzhaltertext">
    <w:name w:val="Placeholder Text"/>
    <w:basedOn w:val="Absatz-Standardschriftart"/>
    <w:uiPriority w:val="99"/>
    <w:semiHidden/>
    <w:rsid w:val="00ED175F"/>
    <w:rPr>
      <w:color w:val="808080"/>
    </w:rPr>
  </w:style>
  <w:style w:type="paragraph" w:customStyle="1" w:styleId="CitaviBibliographyEntry">
    <w:name w:val="Citavi Bibliography Entry"/>
    <w:basedOn w:val="Standard"/>
    <w:link w:val="CitaviBibliographyEntryZchn"/>
    <w:rsid w:val="00ED175F"/>
    <w:pPr>
      <w:spacing w:after="60"/>
    </w:pPr>
    <w:rPr>
      <w:sz w:val="20"/>
      <w:szCs w:val="20"/>
    </w:rPr>
  </w:style>
  <w:style w:type="character" w:customStyle="1" w:styleId="CitaviBibliographyEntryZchn">
    <w:name w:val="Citavi Bibliography Entry Zchn"/>
    <w:basedOn w:val="FunotentextZchn"/>
    <w:link w:val="CitaviBibliographyEntry"/>
    <w:rsid w:val="00ED175F"/>
    <w:rPr>
      <w:sz w:val="20"/>
      <w:szCs w:val="20"/>
    </w:rPr>
  </w:style>
  <w:style w:type="paragraph" w:customStyle="1" w:styleId="CitaviBibliographyHeading">
    <w:name w:val="Citavi Bibliography Heading"/>
    <w:basedOn w:val="berschrift1"/>
    <w:link w:val="CitaviBibliographyHeadingZchn"/>
    <w:rsid w:val="00ED175F"/>
  </w:style>
  <w:style w:type="character" w:customStyle="1" w:styleId="CitaviBibliographyHeadingZchn">
    <w:name w:val="Citavi Bibliography Heading Zchn"/>
    <w:basedOn w:val="FunotentextZchn"/>
    <w:link w:val="CitaviBibliographyHeading"/>
    <w:rsid w:val="00ED175F"/>
    <w:rPr>
      <w:rFonts w:asciiTheme="majorHAnsi" w:eastAsiaTheme="majorEastAsia" w:hAnsiTheme="majorHAnsi" w:cstheme="majorBidi"/>
      <w:color w:val="2E74B5" w:themeColor="accent1" w:themeShade="BF"/>
      <w:sz w:val="32"/>
      <w:szCs w:val="32"/>
    </w:rPr>
  </w:style>
  <w:style w:type="character" w:customStyle="1" w:styleId="berschrift1Zchn">
    <w:name w:val="Überschrift 1 Zchn"/>
    <w:basedOn w:val="Absatz-Standardschriftart"/>
    <w:link w:val="berschrift1"/>
    <w:uiPriority w:val="9"/>
    <w:rsid w:val="00ED175F"/>
    <w:rPr>
      <w:rFonts w:asciiTheme="majorHAnsi" w:eastAsiaTheme="majorEastAsia" w:hAnsiTheme="majorHAnsi" w:cstheme="majorBidi"/>
      <w:color w:val="2E74B5" w:themeColor="accent1" w:themeShade="BF"/>
      <w:sz w:val="32"/>
      <w:szCs w:val="32"/>
    </w:rPr>
  </w:style>
  <w:style w:type="paragraph" w:customStyle="1" w:styleId="CitaviBibliographySubheading1">
    <w:name w:val="Citavi Bibliography Subheading 1"/>
    <w:basedOn w:val="berschrift2"/>
    <w:link w:val="CitaviBibliographySubheading1Zchn"/>
    <w:rsid w:val="00ED175F"/>
    <w:pPr>
      <w:outlineLvl w:val="9"/>
    </w:pPr>
  </w:style>
  <w:style w:type="character" w:customStyle="1" w:styleId="CitaviBibliographySubheading1Zchn">
    <w:name w:val="Citavi Bibliography Subheading 1 Zchn"/>
    <w:basedOn w:val="FunotentextZchn"/>
    <w:link w:val="CitaviBibliographySubheading1"/>
    <w:rsid w:val="00ED175F"/>
    <w:rPr>
      <w:rFonts w:asciiTheme="majorHAnsi" w:eastAsiaTheme="majorEastAsia" w:hAnsiTheme="majorHAnsi" w:cstheme="majorBidi"/>
      <w:color w:val="2E74B5" w:themeColor="accent1" w:themeShade="BF"/>
      <w:sz w:val="26"/>
      <w:szCs w:val="26"/>
    </w:rPr>
  </w:style>
  <w:style w:type="character" w:customStyle="1" w:styleId="berschrift2Zchn">
    <w:name w:val="Überschrift 2 Zchn"/>
    <w:basedOn w:val="Absatz-Standardschriftart"/>
    <w:link w:val="berschrift2"/>
    <w:uiPriority w:val="9"/>
    <w:semiHidden/>
    <w:rsid w:val="00ED175F"/>
    <w:rPr>
      <w:rFonts w:asciiTheme="majorHAnsi" w:eastAsiaTheme="majorEastAsia" w:hAnsiTheme="majorHAnsi" w:cstheme="majorBidi"/>
      <w:color w:val="2E74B5" w:themeColor="accent1" w:themeShade="BF"/>
      <w:sz w:val="26"/>
      <w:szCs w:val="26"/>
    </w:rPr>
  </w:style>
  <w:style w:type="paragraph" w:customStyle="1" w:styleId="CitaviBibliographySubheading2">
    <w:name w:val="Citavi Bibliography Subheading 2"/>
    <w:basedOn w:val="berschrift3"/>
    <w:link w:val="CitaviBibliographySubheading2Zchn"/>
    <w:rsid w:val="00ED175F"/>
    <w:pPr>
      <w:outlineLvl w:val="9"/>
    </w:pPr>
  </w:style>
  <w:style w:type="character" w:customStyle="1" w:styleId="CitaviBibliographySubheading2Zchn">
    <w:name w:val="Citavi Bibliography Subheading 2 Zchn"/>
    <w:basedOn w:val="FunotentextZchn"/>
    <w:link w:val="CitaviBibliographySubheading2"/>
    <w:rsid w:val="00ED175F"/>
    <w:rPr>
      <w:rFonts w:asciiTheme="majorHAnsi" w:eastAsiaTheme="majorEastAsia" w:hAnsiTheme="majorHAnsi" w:cstheme="majorBidi"/>
      <w:color w:val="1F4D78" w:themeColor="accent1" w:themeShade="7F"/>
      <w:sz w:val="24"/>
      <w:szCs w:val="24"/>
    </w:rPr>
  </w:style>
  <w:style w:type="character" w:customStyle="1" w:styleId="berschrift3Zchn">
    <w:name w:val="Überschrift 3 Zchn"/>
    <w:basedOn w:val="Absatz-Standardschriftart"/>
    <w:link w:val="berschrift3"/>
    <w:uiPriority w:val="9"/>
    <w:semiHidden/>
    <w:rsid w:val="00ED175F"/>
    <w:rPr>
      <w:rFonts w:asciiTheme="majorHAnsi" w:eastAsiaTheme="majorEastAsia" w:hAnsiTheme="majorHAnsi" w:cstheme="majorBidi"/>
      <w:color w:val="1F4D78" w:themeColor="accent1" w:themeShade="7F"/>
      <w:sz w:val="24"/>
      <w:szCs w:val="24"/>
    </w:rPr>
  </w:style>
  <w:style w:type="paragraph" w:customStyle="1" w:styleId="CitaviBibliographySubheading3">
    <w:name w:val="Citavi Bibliography Subheading 3"/>
    <w:basedOn w:val="berschrift4"/>
    <w:link w:val="CitaviBibliographySubheading3Zchn"/>
    <w:rsid w:val="00ED175F"/>
    <w:pPr>
      <w:outlineLvl w:val="9"/>
    </w:pPr>
    <w:rPr>
      <w:sz w:val="20"/>
      <w:szCs w:val="20"/>
    </w:rPr>
  </w:style>
  <w:style w:type="character" w:customStyle="1" w:styleId="CitaviBibliographySubheading3Zchn">
    <w:name w:val="Citavi Bibliography Subheading 3 Zchn"/>
    <w:basedOn w:val="FunotentextZchn"/>
    <w:link w:val="CitaviBibliographySubheading3"/>
    <w:rsid w:val="00ED175F"/>
    <w:rPr>
      <w:rFonts w:asciiTheme="majorHAnsi" w:eastAsiaTheme="majorEastAsia" w:hAnsiTheme="majorHAnsi" w:cstheme="majorBidi"/>
      <w:i/>
      <w:iCs/>
      <w:color w:val="2E74B5" w:themeColor="accent1" w:themeShade="BF"/>
      <w:sz w:val="20"/>
      <w:szCs w:val="20"/>
    </w:rPr>
  </w:style>
  <w:style w:type="character" w:customStyle="1" w:styleId="berschrift4Zchn">
    <w:name w:val="Überschrift 4 Zchn"/>
    <w:basedOn w:val="Absatz-Standardschriftart"/>
    <w:link w:val="berschrift4"/>
    <w:uiPriority w:val="9"/>
    <w:semiHidden/>
    <w:rsid w:val="00ED175F"/>
    <w:rPr>
      <w:rFonts w:asciiTheme="majorHAnsi" w:eastAsiaTheme="majorEastAsia" w:hAnsiTheme="majorHAnsi" w:cstheme="majorBidi"/>
      <w:i/>
      <w:iCs/>
      <w:color w:val="2E74B5" w:themeColor="accent1" w:themeShade="BF"/>
    </w:rPr>
  </w:style>
  <w:style w:type="paragraph" w:customStyle="1" w:styleId="CitaviBibliographySubheading4">
    <w:name w:val="Citavi Bibliography Subheading 4"/>
    <w:basedOn w:val="berschrift5"/>
    <w:link w:val="CitaviBibliographySubheading4Zchn"/>
    <w:rsid w:val="00ED175F"/>
    <w:pPr>
      <w:outlineLvl w:val="9"/>
    </w:pPr>
    <w:rPr>
      <w:sz w:val="20"/>
      <w:szCs w:val="20"/>
    </w:rPr>
  </w:style>
  <w:style w:type="character" w:customStyle="1" w:styleId="CitaviBibliographySubheading4Zchn">
    <w:name w:val="Citavi Bibliography Subheading 4 Zchn"/>
    <w:basedOn w:val="FunotentextZchn"/>
    <w:link w:val="CitaviBibliographySubheading4"/>
    <w:rsid w:val="00ED175F"/>
    <w:rPr>
      <w:rFonts w:asciiTheme="majorHAnsi" w:eastAsiaTheme="majorEastAsia" w:hAnsiTheme="majorHAnsi" w:cstheme="majorBidi"/>
      <w:color w:val="2E74B5" w:themeColor="accent1" w:themeShade="BF"/>
      <w:sz w:val="20"/>
      <w:szCs w:val="20"/>
    </w:rPr>
  </w:style>
  <w:style w:type="character" w:customStyle="1" w:styleId="berschrift5Zchn">
    <w:name w:val="Überschrift 5 Zchn"/>
    <w:basedOn w:val="Absatz-Standardschriftart"/>
    <w:link w:val="berschrift5"/>
    <w:uiPriority w:val="9"/>
    <w:semiHidden/>
    <w:rsid w:val="00ED175F"/>
    <w:rPr>
      <w:rFonts w:asciiTheme="majorHAnsi" w:eastAsiaTheme="majorEastAsia" w:hAnsiTheme="majorHAnsi" w:cstheme="majorBidi"/>
      <w:color w:val="2E74B5" w:themeColor="accent1" w:themeShade="BF"/>
    </w:rPr>
  </w:style>
  <w:style w:type="paragraph" w:customStyle="1" w:styleId="CitaviBibliographySubheading5">
    <w:name w:val="Citavi Bibliography Subheading 5"/>
    <w:basedOn w:val="berschrift6"/>
    <w:link w:val="CitaviBibliographySubheading5Zchn"/>
    <w:rsid w:val="00ED175F"/>
    <w:pPr>
      <w:outlineLvl w:val="9"/>
    </w:pPr>
    <w:rPr>
      <w:sz w:val="20"/>
      <w:szCs w:val="20"/>
    </w:rPr>
  </w:style>
  <w:style w:type="character" w:customStyle="1" w:styleId="CitaviBibliographySubheading5Zchn">
    <w:name w:val="Citavi Bibliography Subheading 5 Zchn"/>
    <w:basedOn w:val="FunotentextZchn"/>
    <w:link w:val="CitaviBibliographySubheading5"/>
    <w:rsid w:val="00ED175F"/>
    <w:rPr>
      <w:rFonts w:asciiTheme="majorHAnsi" w:eastAsiaTheme="majorEastAsia" w:hAnsiTheme="majorHAnsi" w:cstheme="majorBidi"/>
      <w:color w:val="1F4D78" w:themeColor="accent1" w:themeShade="7F"/>
      <w:sz w:val="20"/>
      <w:szCs w:val="20"/>
    </w:rPr>
  </w:style>
  <w:style w:type="character" w:customStyle="1" w:styleId="berschrift6Zchn">
    <w:name w:val="Überschrift 6 Zchn"/>
    <w:basedOn w:val="Absatz-Standardschriftart"/>
    <w:link w:val="berschrift6"/>
    <w:uiPriority w:val="9"/>
    <w:semiHidden/>
    <w:rsid w:val="00ED175F"/>
    <w:rPr>
      <w:rFonts w:asciiTheme="majorHAnsi" w:eastAsiaTheme="majorEastAsia" w:hAnsiTheme="majorHAnsi" w:cstheme="majorBidi"/>
      <w:color w:val="1F4D78" w:themeColor="accent1" w:themeShade="7F"/>
    </w:rPr>
  </w:style>
  <w:style w:type="paragraph" w:customStyle="1" w:styleId="CitaviBibliographySubheading6">
    <w:name w:val="Citavi Bibliography Subheading 6"/>
    <w:basedOn w:val="berschrift7"/>
    <w:link w:val="CitaviBibliographySubheading6Zchn"/>
    <w:rsid w:val="00ED175F"/>
    <w:pPr>
      <w:outlineLvl w:val="9"/>
    </w:pPr>
    <w:rPr>
      <w:sz w:val="20"/>
      <w:szCs w:val="20"/>
    </w:rPr>
  </w:style>
  <w:style w:type="character" w:customStyle="1" w:styleId="CitaviBibliographySubheading6Zchn">
    <w:name w:val="Citavi Bibliography Subheading 6 Zchn"/>
    <w:basedOn w:val="FunotentextZchn"/>
    <w:link w:val="CitaviBibliographySubheading6"/>
    <w:rsid w:val="00ED175F"/>
    <w:rPr>
      <w:rFonts w:asciiTheme="majorHAnsi" w:eastAsiaTheme="majorEastAsia" w:hAnsiTheme="majorHAnsi" w:cstheme="majorBidi"/>
      <w:i/>
      <w:iCs/>
      <w:color w:val="1F4D78" w:themeColor="accent1" w:themeShade="7F"/>
      <w:sz w:val="20"/>
      <w:szCs w:val="20"/>
    </w:rPr>
  </w:style>
  <w:style w:type="character" w:customStyle="1" w:styleId="berschrift7Zchn">
    <w:name w:val="Überschrift 7 Zchn"/>
    <w:basedOn w:val="Absatz-Standardschriftart"/>
    <w:link w:val="berschrift7"/>
    <w:uiPriority w:val="9"/>
    <w:semiHidden/>
    <w:rsid w:val="00ED175F"/>
    <w:rPr>
      <w:rFonts w:asciiTheme="majorHAnsi" w:eastAsiaTheme="majorEastAsia" w:hAnsiTheme="majorHAnsi" w:cstheme="majorBidi"/>
      <w:i/>
      <w:iCs/>
      <w:color w:val="1F4D78" w:themeColor="accent1" w:themeShade="7F"/>
    </w:rPr>
  </w:style>
  <w:style w:type="paragraph" w:customStyle="1" w:styleId="CitaviBibliographySubheading7">
    <w:name w:val="Citavi Bibliography Subheading 7"/>
    <w:basedOn w:val="berschrift8"/>
    <w:link w:val="CitaviBibliographySubheading7Zchn"/>
    <w:rsid w:val="00ED175F"/>
    <w:pPr>
      <w:outlineLvl w:val="9"/>
    </w:pPr>
  </w:style>
  <w:style w:type="character" w:customStyle="1" w:styleId="CitaviBibliographySubheading7Zchn">
    <w:name w:val="Citavi Bibliography Subheading 7 Zchn"/>
    <w:basedOn w:val="FunotentextZchn"/>
    <w:link w:val="CitaviBibliographySubheading7"/>
    <w:rsid w:val="00ED175F"/>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ED175F"/>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rsid w:val="00ED175F"/>
    <w:pPr>
      <w:outlineLvl w:val="9"/>
    </w:pPr>
  </w:style>
  <w:style w:type="character" w:customStyle="1" w:styleId="CitaviBibliographySubheading8Zchn">
    <w:name w:val="Citavi Bibliography Subheading 8 Zchn"/>
    <w:basedOn w:val="FunotentextZchn"/>
    <w:link w:val="CitaviBibliographySubheading8"/>
    <w:rsid w:val="00ED175F"/>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ED175F"/>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0863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qr.de/" TargetMode="External"/><Relationship Id="rId13" Type="http://schemas.openxmlformats.org/officeDocument/2006/relationships/hyperlink" Target="https://doi.org/10.1515/bd.2008.42.10.1033" TargetMode="External"/><Relationship Id="rId3" Type="http://schemas.openxmlformats.org/officeDocument/2006/relationships/settings" Target="settings.xml"/><Relationship Id="rId7" Type="http://schemas.openxmlformats.org/officeDocument/2006/relationships/hyperlink" Target="https://doaj.org/" TargetMode="External"/><Relationship Id="rId12" Type="http://schemas.openxmlformats.org/officeDocument/2006/relationships/hyperlink" Target="https://www.vdb-online.org/landesverbae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rk.de/fileadmin/_migrated/content_uploads/Empfehlung_Forschungsdatenmanagement__final_Stand_11.11.201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fobib.de/2015/10/24/de-gruyter-die-zlb-und-der-bibliotheksbaerendienst/" TargetMode="External"/><Relationship Id="rId4" Type="http://schemas.openxmlformats.org/officeDocument/2006/relationships/webSettings" Target="webSettings.xml"/><Relationship Id="rId9" Type="http://schemas.openxmlformats.org/officeDocument/2006/relationships/hyperlink" Target="https://doaj.org/api/v1/docs" TargetMode="External"/><Relationship Id="rId14" Type="http://schemas.openxmlformats.org/officeDocument/2006/relationships/hyperlink" Target="http://www.wissenschaftsrat.de/download/archiv/7976-0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rk.de/fileadmin/_migrated/content_uploads/Empfehlung_Forschungsdatenmanagement__final_Stand_11.11.2015.pdf" TargetMode="External"/><Relationship Id="rId3" Type="http://schemas.openxmlformats.org/officeDocument/2006/relationships/hyperlink" Target="https://doaj.org/api/v1/docs" TargetMode="External"/><Relationship Id="rId7" Type="http://schemas.openxmlformats.org/officeDocument/2006/relationships/hyperlink" Target="https://www.dqr.de/" TargetMode="External"/><Relationship Id="rId2" Type="http://schemas.openxmlformats.org/officeDocument/2006/relationships/hyperlink" Target="https://infobib.de/2015/10/24/de-gruyter-die-zlb-und-der-bibliotheksbaerendienst/" TargetMode="External"/><Relationship Id="rId1" Type="http://schemas.openxmlformats.org/officeDocument/2006/relationships/hyperlink" Target="https://doi.org/10.1515/bd.2008.42.10.1033" TargetMode="External"/><Relationship Id="rId6" Type="http://schemas.openxmlformats.org/officeDocument/2006/relationships/hyperlink" Target="file:///C:\Users\kosuchan\Desktop\O-Bib\www.wissenschaftsrat.de\download\archiv\7976-07.pdf" TargetMode="External"/><Relationship Id="rId5" Type="http://schemas.openxmlformats.org/officeDocument/2006/relationships/hyperlink" Target="https://www.vdb-online.org/landesverbaende/" TargetMode="External"/><Relationship Id="rId4" Type="http://schemas.openxmlformats.org/officeDocument/2006/relationships/hyperlink" Target="https://doa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9986-BC37-4D6B-BC78-22C075B3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Universitätsbibliothek Augsburg</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Kosuch</dc:creator>
  <cp:keywords/>
  <dc:description/>
  <cp:lastModifiedBy>Andreas Kosuch</cp:lastModifiedBy>
  <cp:revision>2</cp:revision>
  <dcterms:created xsi:type="dcterms:W3CDTF">2018-07-20T06:31:00Z</dcterms:created>
  <dcterms:modified xsi:type="dcterms:W3CDTF">2018-07-20T06:31:00Z</dcterms:modified>
</cp:coreProperties>
</file>